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88F" w:rsidRPr="00994B60" w:rsidRDefault="00DE788F" w:rsidP="00DE788F">
      <w:pPr>
        <w:pStyle w:val="Nzev"/>
        <w:spacing w:before="0" w:after="120"/>
        <w:rPr>
          <w:color w:val="000000"/>
          <w:sz w:val="22"/>
          <w:szCs w:val="22"/>
        </w:rPr>
      </w:pPr>
      <w:r w:rsidRPr="00994B60">
        <w:rPr>
          <w:color w:val="000000"/>
          <w:sz w:val="22"/>
          <w:szCs w:val="22"/>
        </w:rPr>
        <w:t>Vnitřní předpis</w:t>
      </w:r>
    </w:p>
    <w:p w:rsidR="00DE788F" w:rsidRPr="00994B60" w:rsidRDefault="00DE788F" w:rsidP="00DE78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color w:val="000000"/>
        </w:rPr>
      </w:pPr>
      <w:r w:rsidRPr="00994B60">
        <w:rPr>
          <w:rFonts w:ascii="Arial" w:hAnsi="Arial" w:cs="Arial"/>
          <w:b/>
          <w:color w:val="000000"/>
        </w:rPr>
        <w:t>Částečná nezaměstnanost</w:t>
      </w:r>
    </w:p>
    <w:p w:rsidR="00DE788F" w:rsidRPr="00994B60" w:rsidRDefault="00DE788F" w:rsidP="00DE788F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center"/>
        <w:rPr>
          <w:rFonts w:ascii="Arial" w:hAnsi="Arial" w:cs="Arial"/>
          <w:color w:val="000000"/>
        </w:rPr>
      </w:pPr>
      <w:bookmarkStart w:id="0" w:name="_gjdgxs" w:colFirst="0" w:colLast="0"/>
      <w:bookmarkEnd w:id="0"/>
      <w:r w:rsidRPr="00994B60">
        <w:rPr>
          <w:rFonts w:ascii="Arial" w:hAnsi="Arial" w:cs="Arial"/>
          <w:color w:val="000000"/>
        </w:rPr>
        <w:t xml:space="preserve">dle </w:t>
      </w:r>
      <w:proofErr w:type="spellStart"/>
      <w:r w:rsidRPr="00994B60">
        <w:rPr>
          <w:rFonts w:ascii="Arial" w:hAnsi="Arial" w:cs="Arial"/>
          <w:color w:val="000000"/>
        </w:rPr>
        <w:t>ust</w:t>
      </w:r>
      <w:proofErr w:type="spellEnd"/>
      <w:r w:rsidRPr="00994B60">
        <w:rPr>
          <w:rFonts w:ascii="Arial" w:hAnsi="Arial" w:cs="Arial"/>
          <w:color w:val="000000"/>
        </w:rPr>
        <w:t>. § 305 zákona č. 262/2006 Sb., zákoníku práce, ve znění pozdějších předpisů</w:t>
      </w:r>
    </w:p>
    <w:p w:rsidR="00DE788F" w:rsidRPr="00994B60" w:rsidRDefault="00DE788F" w:rsidP="00DE788F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Arial" w:hAnsi="Arial" w:cs="Arial"/>
          <w:b/>
          <w:smallCaps/>
          <w:color w:val="000000"/>
        </w:rPr>
      </w:pPr>
      <w:r w:rsidRPr="00994B60">
        <w:rPr>
          <w:rFonts w:ascii="Arial" w:eastAsia="Arial Unicode MS" w:hAnsi="Arial" w:cs="Arial"/>
          <w:b/>
          <w:smallCaps/>
          <w:color w:val="000000"/>
          <w:highlight w:val="yellow"/>
        </w:rPr>
        <w:t>[∙]</w:t>
      </w:r>
      <w:r w:rsidRPr="00994B60">
        <w:rPr>
          <w:rFonts w:ascii="Arial" w:hAnsi="Arial" w:cs="Arial"/>
          <w:b/>
          <w:smallCaps/>
          <w:color w:val="000000"/>
        </w:rPr>
        <w:t xml:space="preserve">, IČO: </w:t>
      </w:r>
      <w:r w:rsidRPr="00994B60">
        <w:rPr>
          <w:rFonts w:ascii="Arial" w:eastAsia="Arial Unicode MS" w:hAnsi="Arial" w:cs="Arial"/>
          <w:b/>
          <w:smallCaps/>
          <w:color w:val="000000"/>
          <w:highlight w:val="yellow"/>
        </w:rPr>
        <w:t>[∙]</w:t>
      </w:r>
      <w:r w:rsidRPr="00994B60">
        <w:rPr>
          <w:rFonts w:ascii="Arial" w:hAnsi="Arial" w:cs="Arial"/>
          <w:b/>
          <w:smallCaps/>
          <w:color w:val="000000"/>
        </w:rPr>
        <w:t xml:space="preserve">, se sídlem </w:t>
      </w:r>
      <w:r w:rsidRPr="00994B60">
        <w:rPr>
          <w:rFonts w:ascii="Arial" w:eastAsia="Arial Unicode MS" w:hAnsi="Arial" w:cs="Arial"/>
          <w:b/>
          <w:smallCaps/>
          <w:color w:val="000000"/>
          <w:highlight w:val="yellow"/>
        </w:rPr>
        <w:t>[∙]</w:t>
      </w:r>
      <w:r w:rsidRPr="00994B60">
        <w:rPr>
          <w:rFonts w:ascii="Arial" w:hAnsi="Arial" w:cs="Arial"/>
          <w:b/>
          <w:smallCaps/>
          <w:color w:val="000000"/>
        </w:rPr>
        <w:t>, zapsaná v </w:t>
      </w:r>
      <w:r w:rsidRPr="00994B60">
        <w:rPr>
          <w:rFonts w:ascii="Arial" w:eastAsia="Arial Unicode MS" w:hAnsi="Arial" w:cs="Arial"/>
          <w:b/>
          <w:smallCaps/>
          <w:color w:val="000000"/>
          <w:highlight w:val="yellow"/>
        </w:rPr>
        <w:t>[∙]</w:t>
      </w:r>
      <w:r w:rsidRPr="00994B60">
        <w:rPr>
          <w:rFonts w:ascii="Arial" w:hAnsi="Arial" w:cs="Arial"/>
          <w:b/>
          <w:smallCaps/>
          <w:color w:val="000000"/>
        </w:rPr>
        <w:t xml:space="preserve"> vedeném </w:t>
      </w:r>
      <w:r w:rsidRPr="00994B60">
        <w:rPr>
          <w:rFonts w:ascii="Arial" w:eastAsia="Arial Unicode MS" w:hAnsi="Arial" w:cs="Arial"/>
          <w:b/>
          <w:smallCaps/>
          <w:color w:val="000000"/>
          <w:highlight w:val="yellow"/>
        </w:rPr>
        <w:t>[∙]</w:t>
      </w:r>
      <w:r w:rsidRPr="00994B60">
        <w:rPr>
          <w:rFonts w:ascii="Arial" w:hAnsi="Arial" w:cs="Arial"/>
          <w:b/>
          <w:smallCaps/>
          <w:color w:val="000000"/>
        </w:rPr>
        <w:t xml:space="preserve">, vložka </w:t>
      </w:r>
      <w:r w:rsidRPr="00994B60">
        <w:rPr>
          <w:rFonts w:ascii="Arial" w:eastAsia="Arial Unicode MS" w:hAnsi="Arial" w:cs="Arial"/>
          <w:b/>
          <w:smallCaps/>
          <w:color w:val="000000"/>
          <w:highlight w:val="yellow"/>
        </w:rPr>
        <w:t>[∙]</w:t>
      </w:r>
      <w:r w:rsidRPr="00994B60">
        <w:rPr>
          <w:rFonts w:ascii="Arial" w:hAnsi="Arial" w:cs="Arial"/>
          <w:b/>
          <w:smallCaps/>
          <w:color w:val="000000"/>
        </w:rPr>
        <w:t xml:space="preserve"> (</w:t>
      </w:r>
      <w:r w:rsidRPr="00994B60">
        <w:rPr>
          <w:rFonts w:ascii="Arial" w:eastAsia="Arial Unicode MS" w:hAnsi="Arial" w:cs="Arial"/>
          <w:b/>
          <w:smallCaps/>
          <w:color w:val="000000"/>
          <w:highlight w:val="yellow"/>
        </w:rPr>
        <w:t>[∙]</w:t>
      </w:r>
      <w:r w:rsidRPr="00994B60">
        <w:rPr>
          <w:rFonts w:ascii="Arial" w:hAnsi="Arial" w:cs="Arial"/>
          <w:b/>
          <w:smallCaps/>
          <w:color w:val="000000"/>
        </w:rPr>
        <w:t>);</w:t>
      </w:r>
    </w:p>
    <w:tbl>
      <w:tblPr>
        <w:tblW w:w="834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2"/>
        <w:gridCol w:w="4160"/>
      </w:tblGrid>
      <w:tr w:rsidR="00DE788F" w:rsidRPr="00994B60" w:rsidTr="000C1FBF">
        <w:trPr>
          <w:trHeight w:val="227"/>
        </w:trPr>
        <w:tc>
          <w:tcPr>
            <w:tcW w:w="4182" w:type="dxa"/>
          </w:tcPr>
          <w:p w:rsidR="00DE788F" w:rsidRPr="00994B60" w:rsidRDefault="00DE788F" w:rsidP="000C1FBF">
            <w:pPr>
              <w:rPr>
                <w:rFonts w:ascii="Arial" w:eastAsia="Arial" w:hAnsi="Arial" w:cs="Arial"/>
                <w:b/>
                <w:color w:val="000000"/>
              </w:rPr>
            </w:pPr>
            <w:r w:rsidRPr="00994B60">
              <w:rPr>
                <w:rFonts w:ascii="Arial" w:eastAsia="Arial" w:hAnsi="Arial" w:cs="Arial"/>
                <w:b/>
                <w:color w:val="000000"/>
              </w:rPr>
              <w:t>Zpracoval:</w:t>
            </w:r>
          </w:p>
        </w:tc>
        <w:tc>
          <w:tcPr>
            <w:tcW w:w="4160" w:type="dxa"/>
          </w:tcPr>
          <w:p w:rsidR="00DE788F" w:rsidRPr="00994B60" w:rsidRDefault="00DE788F" w:rsidP="000C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Arial" w:eastAsia="Arial" w:hAnsi="Arial" w:cs="Arial"/>
                <w:b/>
                <w:smallCaps/>
                <w:color w:val="000000"/>
              </w:rPr>
            </w:pPr>
            <w:r w:rsidRPr="00994B60">
              <w:rPr>
                <w:rFonts w:ascii="Arial" w:eastAsia="Arial" w:hAnsi="Arial" w:cs="Arial"/>
                <w:b/>
                <w:smallCaps/>
                <w:color w:val="000000"/>
                <w:highlight w:val="yellow"/>
              </w:rPr>
              <w:t>[Jméno, příjmení, pozice]</w:t>
            </w:r>
          </w:p>
        </w:tc>
      </w:tr>
      <w:tr w:rsidR="00DE788F" w:rsidRPr="00994B60" w:rsidTr="000C1FBF">
        <w:trPr>
          <w:trHeight w:val="227"/>
        </w:trPr>
        <w:tc>
          <w:tcPr>
            <w:tcW w:w="4182" w:type="dxa"/>
          </w:tcPr>
          <w:p w:rsidR="00DE788F" w:rsidRPr="00994B60" w:rsidRDefault="00DE788F" w:rsidP="000C1FBF">
            <w:pPr>
              <w:rPr>
                <w:rFonts w:ascii="Arial" w:eastAsia="Arial" w:hAnsi="Arial" w:cs="Arial"/>
                <w:b/>
                <w:color w:val="000000"/>
              </w:rPr>
            </w:pPr>
            <w:r w:rsidRPr="00994B60">
              <w:rPr>
                <w:rFonts w:ascii="Arial" w:eastAsia="Arial" w:hAnsi="Arial" w:cs="Arial"/>
                <w:b/>
                <w:color w:val="000000"/>
              </w:rPr>
              <w:t>Schválil:</w:t>
            </w:r>
          </w:p>
        </w:tc>
        <w:tc>
          <w:tcPr>
            <w:tcW w:w="4160" w:type="dxa"/>
          </w:tcPr>
          <w:p w:rsidR="00DE788F" w:rsidRPr="00994B60" w:rsidRDefault="00DE788F" w:rsidP="000C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Arial" w:eastAsia="Arial" w:hAnsi="Arial" w:cs="Arial"/>
                <w:b/>
                <w:smallCaps/>
                <w:color w:val="000000"/>
              </w:rPr>
            </w:pPr>
            <w:r w:rsidRPr="00994B60">
              <w:rPr>
                <w:rFonts w:ascii="Arial" w:eastAsia="Arial" w:hAnsi="Arial" w:cs="Arial"/>
                <w:b/>
                <w:smallCaps/>
                <w:color w:val="000000"/>
                <w:highlight w:val="yellow"/>
              </w:rPr>
              <w:t>[Jméno, příjmení, pozice]</w:t>
            </w:r>
          </w:p>
        </w:tc>
      </w:tr>
      <w:tr w:rsidR="00DE788F" w:rsidRPr="00994B60" w:rsidTr="000C1FBF">
        <w:trPr>
          <w:trHeight w:val="227"/>
        </w:trPr>
        <w:tc>
          <w:tcPr>
            <w:tcW w:w="4182" w:type="dxa"/>
          </w:tcPr>
          <w:p w:rsidR="00DE788F" w:rsidRPr="00994B60" w:rsidRDefault="00DE788F" w:rsidP="000C1FBF">
            <w:pPr>
              <w:rPr>
                <w:rFonts w:ascii="Arial" w:eastAsia="Arial" w:hAnsi="Arial" w:cs="Arial"/>
                <w:color w:val="000000"/>
              </w:rPr>
            </w:pPr>
            <w:r w:rsidRPr="00994B60">
              <w:rPr>
                <w:rFonts w:ascii="Arial" w:eastAsia="Arial" w:hAnsi="Arial" w:cs="Arial"/>
                <w:b/>
                <w:color w:val="000000"/>
              </w:rPr>
              <w:t xml:space="preserve">Komu určeno: </w:t>
            </w:r>
          </w:p>
        </w:tc>
        <w:tc>
          <w:tcPr>
            <w:tcW w:w="4160" w:type="dxa"/>
          </w:tcPr>
          <w:p w:rsidR="00DE788F" w:rsidRPr="00994B60" w:rsidRDefault="00DE788F" w:rsidP="000C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Arial" w:eastAsia="Arial" w:hAnsi="Arial" w:cs="Arial"/>
                <w:b/>
                <w:smallCaps/>
                <w:color w:val="000000"/>
              </w:rPr>
            </w:pPr>
            <w:r w:rsidRPr="00994B60">
              <w:rPr>
                <w:rFonts w:ascii="Arial" w:eastAsia="Arial" w:hAnsi="Arial" w:cs="Arial"/>
                <w:b/>
                <w:smallCaps/>
                <w:color w:val="000000"/>
                <w:highlight w:val="yellow"/>
              </w:rPr>
              <w:t>[např. oddělení, sekce]</w:t>
            </w:r>
          </w:p>
        </w:tc>
      </w:tr>
      <w:tr w:rsidR="00DE788F" w:rsidRPr="00994B60" w:rsidTr="000C1FBF">
        <w:trPr>
          <w:trHeight w:val="227"/>
        </w:trPr>
        <w:tc>
          <w:tcPr>
            <w:tcW w:w="4182" w:type="dxa"/>
          </w:tcPr>
          <w:p w:rsidR="00DE788F" w:rsidRPr="00994B60" w:rsidRDefault="00DE788F" w:rsidP="000C1FBF">
            <w:pPr>
              <w:rPr>
                <w:rFonts w:ascii="Arial" w:eastAsia="Arial" w:hAnsi="Arial" w:cs="Arial"/>
                <w:b/>
                <w:color w:val="000000"/>
              </w:rPr>
            </w:pPr>
            <w:r w:rsidRPr="00994B60">
              <w:rPr>
                <w:rFonts w:ascii="Arial" w:eastAsia="Arial" w:hAnsi="Arial" w:cs="Arial"/>
                <w:b/>
                <w:color w:val="000000"/>
              </w:rPr>
              <w:t>Platnost od:</w:t>
            </w:r>
          </w:p>
        </w:tc>
        <w:tc>
          <w:tcPr>
            <w:tcW w:w="4160" w:type="dxa"/>
          </w:tcPr>
          <w:p w:rsidR="00DE788F" w:rsidRPr="00994B60" w:rsidRDefault="00DE788F" w:rsidP="000C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Arial" w:eastAsia="Arial" w:hAnsi="Arial" w:cs="Arial"/>
                <w:b/>
                <w:smallCaps/>
                <w:color w:val="000000"/>
              </w:rPr>
            </w:pPr>
            <w:r w:rsidRPr="00994B60">
              <w:rPr>
                <w:rFonts w:ascii="Arial" w:eastAsia="Arial" w:hAnsi="Arial" w:cs="Arial"/>
                <w:b/>
                <w:smallCaps/>
                <w:color w:val="000000"/>
                <w:highlight w:val="yellow"/>
              </w:rPr>
              <w:t>[datum]</w:t>
            </w:r>
          </w:p>
        </w:tc>
      </w:tr>
    </w:tbl>
    <w:p w:rsidR="00DE788F" w:rsidRPr="00DE788F" w:rsidRDefault="00DE788F" w:rsidP="00DE788F">
      <w:pPr>
        <w:pStyle w:val="Nadpis1"/>
        <w:numPr>
          <w:ilvl w:val="0"/>
          <w:numId w:val="1"/>
        </w:numPr>
        <w:spacing w:line="240" w:lineRule="auto"/>
      </w:pPr>
      <w:r w:rsidRPr="00994B60">
        <w:t>Úvodní ustanovení</w:t>
      </w:r>
    </w:p>
    <w:p w:rsidR="00DE788F" w:rsidRPr="00994B60" w:rsidRDefault="00DE788F" w:rsidP="00DE788F">
      <w:pPr>
        <w:pStyle w:val="Nadpis2"/>
        <w:numPr>
          <w:ilvl w:val="1"/>
          <w:numId w:val="1"/>
        </w:numPr>
        <w:spacing w:before="240" w:after="120"/>
        <w:rPr>
          <w:color w:val="000000"/>
          <w:sz w:val="22"/>
          <w:szCs w:val="22"/>
        </w:rPr>
      </w:pPr>
      <w:r w:rsidRPr="00994B60">
        <w:rPr>
          <w:color w:val="000000"/>
          <w:sz w:val="22"/>
          <w:szCs w:val="22"/>
        </w:rPr>
        <w:t xml:space="preserve">Účelem tohoto vnitřního předpisu je reagovat na situaci související s usnesením vlády č. 194, ze dne 12. března 2020, kterým byl pro celé území České republiky vyhlášen nouzový stav na celém území České republiky z důvodu ohrožení zdraví v souvislosti s prokázáním výskytu </w:t>
      </w:r>
      <w:proofErr w:type="spellStart"/>
      <w:r w:rsidRPr="00994B60">
        <w:rPr>
          <w:color w:val="000000"/>
          <w:sz w:val="22"/>
          <w:szCs w:val="22"/>
        </w:rPr>
        <w:t>koronaviru</w:t>
      </w:r>
      <w:proofErr w:type="spellEnd"/>
      <w:r w:rsidRPr="00994B60">
        <w:rPr>
          <w:color w:val="000000"/>
          <w:sz w:val="22"/>
          <w:szCs w:val="22"/>
        </w:rPr>
        <w:t xml:space="preserve"> (SARS CoV-2). </w:t>
      </w:r>
    </w:p>
    <w:p w:rsidR="00DE788F" w:rsidRPr="00994B60" w:rsidRDefault="00DE788F" w:rsidP="00DE788F">
      <w:pPr>
        <w:pStyle w:val="Nadpis2"/>
        <w:numPr>
          <w:ilvl w:val="1"/>
          <w:numId w:val="1"/>
        </w:numPr>
        <w:spacing w:before="240" w:after="120"/>
        <w:rPr>
          <w:color w:val="000000"/>
          <w:sz w:val="22"/>
          <w:szCs w:val="22"/>
        </w:rPr>
      </w:pPr>
      <w:r w:rsidRPr="00994B60">
        <w:rPr>
          <w:color w:val="000000"/>
          <w:sz w:val="22"/>
          <w:szCs w:val="22"/>
        </w:rPr>
        <w:t xml:space="preserve">V rámci krizových opatření došlo k zákazu provozování </w:t>
      </w:r>
      <w:r w:rsidRPr="00994B60">
        <w:rPr>
          <w:color w:val="000000"/>
          <w:sz w:val="22"/>
          <w:szCs w:val="22"/>
          <w:highlight w:val="yellow"/>
        </w:rPr>
        <w:t>[např. stravovacích zařízení]</w:t>
      </w:r>
      <w:r w:rsidRPr="00994B60">
        <w:rPr>
          <w:color w:val="000000"/>
          <w:sz w:val="22"/>
          <w:szCs w:val="22"/>
        </w:rPr>
        <w:t>, takže zaměstnavatel nemůže zaměstnancům, kteří v těchto zařízeních pracují, popřípadě jejichž výkon práce je navázán na provoz těchto zařízení, přidělovat práci, neboť v důsledku rozhodnutí vlády České republiky je omezena poptávka po omezovaných službách.</w:t>
      </w:r>
    </w:p>
    <w:p w:rsidR="00DE788F" w:rsidRPr="00994B60" w:rsidRDefault="00DE788F" w:rsidP="00DE788F">
      <w:pPr>
        <w:pStyle w:val="Nadpis2"/>
        <w:numPr>
          <w:ilvl w:val="1"/>
          <w:numId w:val="1"/>
        </w:numPr>
        <w:spacing w:before="240" w:after="120"/>
        <w:rPr>
          <w:color w:val="000000"/>
          <w:sz w:val="22"/>
          <w:szCs w:val="22"/>
        </w:rPr>
      </w:pPr>
      <w:r w:rsidRPr="00994B60">
        <w:rPr>
          <w:color w:val="000000"/>
          <w:sz w:val="22"/>
          <w:szCs w:val="22"/>
        </w:rPr>
        <w:t xml:space="preserve">Tímto vnitřním předpisem jsou dle </w:t>
      </w:r>
      <w:proofErr w:type="spellStart"/>
      <w:r w:rsidRPr="00994B60">
        <w:rPr>
          <w:color w:val="000000"/>
          <w:sz w:val="22"/>
          <w:szCs w:val="22"/>
        </w:rPr>
        <w:t>ust</w:t>
      </w:r>
      <w:proofErr w:type="spellEnd"/>
      <w:r w:rsidRPr="00994B60">
        <w:rPr>
          <w:color w:val="000000"/>
          <w:sz w:val="22"/>
          <w:szCs w:val="22"/>
        </w:rPr>
        <w:t>. § 305 odst. 3 zákoníku práce povinni se řídit všichni zaměstnanci, kteří jsou v pracovněprávním vztahu k zaměstnavateli.</w:t>
      </w:r>
    </w:p>
    <w:p w:rsidR="00DE788F" w:rsidRPr="00994B60" w:rsidRDefault="00DE788F" w:rsidP="00DE788F">
      <w:pPr>
        <w:pStyle w:val="Nadpis1"/>
        <w:numPr>
          <w:ilvl w:val="0"/>
          <w:numId w:val="1"/>
        </w:numPr>
        <w:spacing w:line="240" w:lineRule="auto"/>
      </w:pPr>
      <w:r w:rsidRPr="00994B60">
        <w:t xml:space="preserve">překážky na straně </w:t>
      </w:r>
      <w:r w:rsidRPr="00DE788F">
        <w:t>zaměstnavatele</w:t>
      </w:r>
    </w:p>
    <w:p w:rsidR="00DE788F" w:rsidRPr="00994B60" w:rsidRDefault="00DE788F" w:rsidP="00DE788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Arial" w:hAnsi="Arial" w:cs="Arial"/>
          <w:color w:val="000000"/>
        </w:rPr>
      </w:pPr>
      <w:bookmarkStart w:id="1" w:name="_30j0zll" w:colFirst="0" w:colLast="0"/>
      <w:bookmarkEnd w:id="1"/>
      <w:r w:rsidRPr="00994B60">
        <w:rPr>
          <w:rFonts w:ascii="Arial" w:hAnsi="Arial" w:cs="Arial"/>
          <w:color w:val="000000"/>
        </w:rPr>
        <w:t xml:space="preserve">S ohledem na přijatá krizová opatření vlády České republiky jsou v případě zaměstnanců zaměstnavatele, kteří mají sjednaný druh práce </w:t>
      </w:r>
      <w:r w:rsidRPr="00994B60">
        <w:rPr>
          <w:rFonts w:ascii="Arial" w:hAnsi="Arial" w:cs="Arial"/>
          <w:color w:val="000000"/>
          <w:highlight w:val="yellow"/>
        </w:rPr>
        <w:t>[např. číšník, servírka]</w:t>
      </w:r>
      <w:r w:rsidRPr="00994B60">
        <w:rPr>
          <w:rFonts w:ascii="Arial" w:hAnsi="Arial" w:cs="Arial"/>
          <w:color w:val="000000"/>
        </w:rPr>
        <w:t xml:space="preserve">, dány jiné překážky na straně zaměstnavatele ve smyslu </w:t>
      </w:r>
      <w:proofErr w:type="spellStart"/>
      <w:r w:rsidRPr="00994B60">
        <w:rPr>
          <w:rFonts w:ascii="Arial" w:hAnsi="Arial" w:cs="Arial"/>
          <w:color w:val="000000"/>
        </w:rPr>
        <w:t>ust</w:t>
      </w:r>
      <w:proofErr w:type="spellEnd"/>
      <w:r w:rsidRPr="00994B60">
        <w:rPr>
          <w:rFonts w:ascii="Arial" w:hAnsi="Arial" w:cs="Arial"/>
          <w:color w:val="000000"/>
        </w:rPr>
        <w:t>. § 209 odst. 1 zákoníku práce.</w:t>
      </w:r>
    </w:p>
    <w:p w:rsidR="00DE788F" w:rsidRPr="00994B60" w:rsidRDefault="00DE788F" w:rsidP="00DE788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Arial" w:hAnsi="Arial" w:cs="Arial"/>
          <w:color w:val="000000"/>
        </w:rPr>
      </w:pPr>
      <w:r w:rsidRPr="00994B60">
        <w:rPr>
          <w:rFonts w:ascii="Arial" w:hAnsi="Arial" w:cs="Arial"/>
          <w:color w:val="000000"/>
        </w:rPr>
        <w:t xml:space="preserve">Po dobu výše uvedených překážek na straně zaměstnavatele náleží dotčeným zaměstnancům náhrada mzdy ve výši </w:t>
      </w:r>
      <w:r w:rsidRPr="00994B60">
        <w:rPr>
          <w:rFonts w:ascii="Arial" w:hAnsi="Arial" w:cs="Arial"/>
          <w:color w:val="000000"/>
          <w:highlight w:val="yellow"/>
        </w:rPr>
        <w:t>[minimálně 60 %]</w:t>
      </w:r>
      <w:r w:rsidRPr="00994B60">
        <w:rPr>
          <w:rFonts w:ascii="Arial" w:hAnsi="Arial" w:cs="Arial"/>
          <w:color w:val="000000"/>
        </w:rPr>
        <w:t xml:space="preserve"> průměrného výdělku. </w:t>
      </w:r>
    </w:p>
    <w:p w:rsidR="00DE788F" w:rsidRPr="00994B60" w:rsidRDefault="00DE788F" w:rsidP="00DE788F">
      <w:pPr>
        <w:pStyle w:val="Nadpis1"/>
        <w:numPr>
          <w:ilvl w:val="0"/>
          <w:numId w:val="1"/>
        </w:numPr>
        <w:spacing w:line="240" w:lineRule="auto"/>
      </w:pPr>
      <w:r w:rsidRPr="00994B60">
        <w:t xml:space="preserve">Závěrečná </w:t>
      </w:r>
      <w:r w:rsidRPr="00DE788F">
        <w:t>ustanovení</w:t>
      </w:r>
    </w:p>
    <w:p w:rsidR="00DE788F" w:rsidRPr="00994B60" w:rsidRDefault="00DE788F" w:rsidP="00DE788F">
      <w:pPr>
        <w:pStyle w:val="Nadpis2"/>
        <w:numPr>
          <w:ilvl w:val="1"/>
          <w:numId w:val="1"/>
        </w:numPr>
        <w:spacing w:before="240" w:after="120"/>
        <w:rPr>
          <w:color w:val="000000"/>
          <w:sz w:val="22"/>
          <w:szCs w:val="22"/>
        </w:rPr>
      </w:pPr>
      <w:r w:rsidRPr="00994B60">
        <w:rPr>
          <w:color w:val="000000"/>
          <w:sz w:val="22"/>
          <w:szCs w:val="22"/>
        </w:rPr>
        <w:t xml:space="preserve">Tento vnitřní předpis nabývá účinnosti dne </w:t>
      </w:r>
      <w:r w:rsidRPr="00994B60">
        <w:rPr>
          <w:rFonts w:eastAsia="Arial Unicode MS"/>
          <w:color w:val="000000"/>
          <w:sz w:val="22"/>
          <w:szCs w:val="22"/>
          <w:highlight w:val="yellow"/>
        </w:rPr>
        <w:t>[∙]</w:t>
      </w:r>
      <w:r w:rsidRPr="00994B60">
        <w:rPr>
          <w:color w:val="000000"/>
          <w:sz w:val="22"/>
          <w:szCs w:val="22"/>
        </w:rPr>
        <w:t>.</w:t>
      </w:r>
    </w:p>
    <w:p w:rsidR="00DE788F" w:rsidRPr="00994B60" w:rsidRDefault="00DE788F" w:rsidP="00DE788F">
      <w:pPr>
        <w:pStyle w:val="Nadpis2"/>
        <w:numPr>
          <w:ilvl w:val="1"/>
          <w:numId w:val="1"/>
        </w:numPr>
        <w:spacing w:before="240" w:after="120"/>
        <w:rPr>
          <w:color w:val="000000"/>
          <w:sz w:val="22"/>
          <w:szCs w:val="22"/>
        </w:rPr>
      </w:pPr>
      <w:r w:rsidRPr="00994B60">
        <w:rPr>
          <w:color w:val="000000"/>
          <w:sz w:val="22"/>
          <w:szCs w:val="22"/>
        </w:rPr>
        <w:t xml:space="preserve">Tento vnitřní předpis se vydává na dobu </w:t>
      </w:r>
      <w:r w:rsidRPr="00994B60">
        <w:rPr>
          <w:color w:val="000000"/>
          <w:sz w:val="22"/>
          <w:szCs w:val="22"/>
          <w:highlight w:val="yellow"/>
        </w:rPr>
        <w:t>[maximálně 1 měsíc, lze kdykoliv zrušit oznámením]</w:t>
      </w:r>
      <w:r w:rsidRPr="00994B60">
        <w:rPr>
          <w:color w:val="000000"/>
          <w:sz w:val="22"/>
          <w:szCs w:val="22"/>
        </w:rPr>
        <w:t>.</w:t>
      </w:r>
    </w:p>
    <w:p w:rsidR="00DE788F" w:rsidRPr="00994B60" w:rsidRDefault="00DE788F" w:rsidP="00DE788F">
      <w:pPr>
        <w:pStyle w:val="Nadpis2"/>
        <w:spacing w:before="240" w:after="120"/>
        <w:rPr>
          <w:color w:val="000000"/>
          <w:sz w:val="22"/>
          <w:szCs w:val="22"/>
        </w:rPr>
      </w:pPr>
      <w:r w:rsidRPr="00994B60">
        <w:rPr>
          <w:color w:val="000000"/>
          <w:sz w:val="22"/>
          <w:szCs w:val="22"/>
        </w:rPr>
        <w:t>V </w:t>
      </w:r>
      <w:r w:rsidRPr="00994B60">
        <w:rPr>
          <w:rFonts w:eastAsia="Arial Unicode MS"/>
          <w:color w:val="000000"/>
          <w:sz w:val="22"/>
          <w:szCs w:val="22"/>
          <w:highlight w:val="yellow"/>
        </w:rPr>
        <w:t>[∙]</w:t>
      </w:r>
      <w:r w:rsidRPr="00994B60">
        <w:rPr>
          <w:color w:val="000000"/>
          <w:sz w:val="22"/>
          <w:szCs w:val="22"/>
        </w:rPr>
        <w:t xml:space="preserve"> dne </w:t>
      </w:r>
      <w:r w:rsidRPr="00994B60">
        <w:rPr>
          <w:rFonts w:eastAsia="Arial Unicode MS"/>
          <w:color w:val="000000"/>
          <w:sz w:val="22"/>
          <w:szCs w:val="22"/>
          <w:highlight w:val="yellow"/>
        </w:rPr>
        <w:t>[∙]</w:t>
      </w:r>
    </w:p>
    <w:p w:rsidR="00DE788F" w:rsidRDefault="00DE788F" w:rsidP="00DE788F">
      <w:pPr>
        <w:spacing w:line="240" w:lineRule="auto"/>
        <w:rPr>
          <w:rFonts w:ascii="Arial" w:hAnsi="Arial" w:cs="Arial"/>
          <w:color w:val="000000"/>
        </w:rPr>
      </w:pPr>
    </w:p>
    <w:p w:rsidR="00DE788F" w:rsidRPr="00994B60" w:rsidRDefault="00DE788F" w:rsidP="00DE788F">
      <w:pPr>
        <w:spacing w:line="240" w:lineRule="auto"/>
        <w:rPr>
          <w:rFonts w:ascii="Arial" w:hAnsi="Arial" w:cs="Arial"/>
          <w:color w:val="000000"/>
        </w:rPr>
      </w:pPr>
      <w:r w:rsidRPr="00994B60">
        <w:rPr>
          <w:rFonts w:ascii="Arial" w:hAnsi="Arial" w:cs="Arial"/>
          <w:color w:val="000000"/>
        </w:rPr>
        <w:t>___________________________</w:t>
      </w:r>
    </w:p>
    <w:p w:rsidR="00DE788F" w:rsidRPr="00994B60" w:rsidRDefault="00DE788F" w:rsidP="00DE788F">
      <w:pPr>
        <w:pStyle w:val="Nadpis2"/>
        <w:spacing w:before="0" w:after="0"/>
        <w:rPr>
          <w:color w:val="000000"/>
          <w:sz w:val="22"/>
          <w:szCs w:val="22"/>
        </w:rPr>
      </w:pPr>
      <w:r w:rsidRPr="00994B60">
        <w:rPr>
          <w:color w:val="000000"/>
          <w:sz w:val="22"/>
          <w:szCs w:val="22"/>
        </w:rPr>
        <w:t xml:space="preserve">Jméno: </w:t>
      </w:r>
      <w:r w:rsidRPr="00994B60">
        <w:rPr>
          <w:rFonts w:eastAsia="Arial Unicode MS"/>
          <w:color w:val="000000"/>
          <w:sz w:val="22"/>
          <w:szCs w:val="22"/>
          <w:highlight w:val="yellow"/>
        </w:rPr>
        <w:t>[∙]</w:t>
      </w:r>
    </w:p>
    <w:p w:rsidR="00CC0C38" w:rsidRPr="00DE788F" w:rsidRDefault="00DE788F" w:rsidP="00DE788F">
      <w:pPr>
        <w:pStyle w:val="Nadpis2"/>
        <w:spacing w:before="0" w:after="0"/>
        <w:rPr>
          <w:color w:val="000000"/>
          <w:sz w:val="22"/>
          <w:szCs w:val="22"/>
        </w:rPr>
      </w:pPr>
      <w:r w:rsidRPr="00994B60">
        <w:rPr>
          <w:color w:val="000000"/>
          <w:sz w:val="22"/>
          <w:szCs w:val="22"/>
        </w:rPr>
        <w:t xml:space="preserve">Funkce: </w:t>
      </w:r>
      <w:r w:rsidRPr="00994B60">
        <w:rPr>
          <w:rFonts w:eastAsia="Arial Unicode MS"/>
          <w:color w:val="000000"/>
          <w:sz w:val="22"/>
          <w:szCs w:val="22"/>
          <w:highlight w:val="yellow"/>
        </w:rPr>
        <w:t>[∙]</w:t>
      </w:r>
      <w:bookmarkStart w:id="2" w:name="_GoBack"/>
      <w:bookmarkEnd w:id="2"/>
    </w:p>
    <w:sectPr w:rsidR="00CC0C38" w:rsidRPr="00DE7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3157"/>
    <w:multiLevelType w:val="multilevel"/>
    <w:tmpl w:val="30163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68"/>
    <w:rsid w:val="005B20DC"/>
    <w:rsid w:val="00BA3568"/>
    <w:rsid w:val="00CC0C38"/>
    <w:rsid w:val="00D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F5C1"/>
  <w15:chartTrackingRefBased/>
  <w15:docId w15:val="{A9680F5A-37A7-45E0-8087-C704319C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788F"/>
  </w:style>
  <w:style w:type="paragraph" w:styleId="Nadpis1">
    <w:name w:val="heading 1"/>
    <w:basedOn w:val="Normln"/>
    <w:next w:val="Normln"/>
    <w:link w:val="Nadpis1Char"/>
    <w:uiPriority w:val="9"/>
    <w:qFormat/>
    <w:rsid w:val="00DE7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3568"/>
    <w:pPr>
      <w:widowControl w:val="0"/>
      <w:tabs>
        <w:tab w:val="left" w:pos="709"/>
      </w:tabs>
      <w:spacing w:before="120" w:after="240" w:line="240" w:lineRule="auto"/>
      <w:ind w:left="709" w:hanging="709"/>
      <w:jc w:val="both"/>
      <w:outlineLvl w:val="1"/>
    </w:pPr>
    <w:rPr>
      <w:rFonts w:ascii="Arial" w:eastAsia="Arial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3568"/>
    <w:rPr>
      <w:rFonts w:ascii="Arial" w:eastAsia="Arial" w:hAnsi="Arial" w:cs="Arial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E7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E788F"/>
    <w:pPr>
      <w:widowControl w:val="0"/>
      <w:spacing w:before="240" w:after="360" w:line="240" w:lineRule="auto"/>
      <w:jc w:val="center"/>
    </w:pPr>
    <w:rPr>
      <w:rFonts w:ascii="Arial" w:eastAsia="Arial" w:hAnsi="Arial" w:cs="Arial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DE788F"/>
    <w:rPr>
      <w:rFonts w:ascii="Arial" w:eastAsia="Arial" w:hAnsi="Arial" w:cs="Arial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2</cp:revision>
  <dcterms:created xsi:type="dcterms:W3CDTF">2020-03-30T09:54:00Z</dcterms:created>
  <dcterms:modified xsi:type="dcterms:W3CDTF">2020-03-30T09:54:00Z</dcterms:modified>
</cp:coreProperties>
</file>